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C0AB56" w14:textId="77777777" w:rsidR="00472678" w:rsidRPr="0001540B" w:rsidRDefault="00472678" w:rsidP="0001540B">
      <w:pPr>
        <w:spacing w:line="276" w:lineRule="auto"/>
        <w:rPr>
          <w:szCs w:val="24"/>
        </w:rPr>
      </w:pPr>
      <w:r w:rsidRPr="0001540B">
        <w:rPr>
          <w:szCs w:val="24"/>
        </w:rPr>
        <w:t>УДК 632.959</w:t>
      </w:r>
    </w:p>
    <w:p w14:paraId="6D79B5A4" w14:textId="77777777" w:rsidR="00472678" w:rsidRPr="0001540B" w:rsidRDefault="00472678" w:rsidP="0001540B">
      <w:pPr>
        <w:spacing w:line="276" w:lineRule="auto"/>
        <w:jc w:val="right"/>
        <w:rPr>
          <w:b/>
          <w:bCs/>
          <w:szCs w:val="24"/>
          <w:lang w:val="nl-BE"/>
        </w:rPr>
      </w:pPr>
      <w:r w:rsidRPr="0001540B">
        <w:rPr>
          <w:b/>
          <w:bCs/>
          <w:szCs w:val="24"/>
          <w:lang w:val="nl-BE"/>
        </w:rPr>
        <w:t>Т.</w:t>
      </w:r>
      <w:r w:rsidRPr="0001540B">
        <w:rPr>
          <w:b/>
          <w:bCs/>
          <w:szCs w:val="24"/>
        </w:rPr>
        <w:t xml:space="preserve"> </w:t>
      </w:r>
      <w:r w:rsidRPr="0001540B">
        <w:rPr>
          <w:b/>
          <w:bCs/>
          <w:szCs w:val="24"/>
          <w:lang w:val="nl-BE"/>
        </w:rPr>
        <w:t>А</w:t>
      </w:r>
      <w:r w:rsidRPr="0001540B">
        <w:rPr>
          <w:b/>
          <w:bCs/>
          <w:szCs w:val="24"/>
        </w:rPr>
        <w:t>.</w:t>
      </w:r>
      <w:r w:rsidRPr="0001540B">
        <w:rPr>
          <w:b/>
          <w:bCs/>
          <w:szCs w:val="24"/>
          <w:lang w:val="nl-BE"/>
        </w:rPr>
        <w:t xml:space="preserve"> Калинина</w:t>
      </w:r>
      <w:r w:rsidRPr="0001540B">
        <w:rPr>
          <w:b/>
          <w:bCs/>
          <w:szCs w:val="24"/>
          <w:vertAlign w:val="superscript"/>
        </w:rPr>
        <w:t>1</w:t>
      </w:r>
      <w:r w:rsidRPr="0001540B">
        <w:rPr>
          <w:b/>
          <w:bCs/>
          <w:szCs w:val="24"/>
          <w:lang w:val="nl-BE"/>
        </w:rPr>
        <w:t>, О.</w:t>
      </w:r>
      <w:r w:rsidRPr="0001540B">
        <w:rPr>
          <w:b/>
          <w:bCs/>
          <w:szCs w:val="24"/>
        </w:rPr>
        <w:t xml:space="preserve"> </w:t>
      </w:r>
      <w:r w:rsidRPr="0001540B">
        <w:rPr>
          <w:b/>
          <w:bCs/>
          <w:szCs w:val="24"/>
          <w:lang w:val="nl-BE"/>
        </w:rPr>
        <w:t>А.</w:t>
      </w:r>
      <w:r w:rsidRPr="0001540B">
        <w:rPr>
          <w:b/>
          <w:bCs/>
          <w:szCs w:val="24"/>
        </w:rPr>
        <w:t xml:space="preserve"> </w:t>
      </w:r>
      <w:r w:rsidRPr="0001540B">
        <w:rPr>
          <w:b/>
          <w:bCs/>
          <w:szCs w:val="24"/>
          <w:lang w:val="nl-BE"/>
        </w:rPr>
        <w:t>Высокова</w:t>
      </w:r>
      <w:r w:rsidRPr="0001540B">
        <w:rPr>
          <w:b/>
          <w:bCs/>
          <w:szCs w:val="24"/>
          <w:vertAlign w:val="superscript"/>
        </w:rPr>
        <w:t>1</w:t>
      </w:r>
      <w:r w:rsidRPr="0001540B">
        <w:rPr>
          <w:b/>
          <w:bCs/>
          <w:szCs w:val="24"/>
          <w:lang w:val="nl-BE"/>
        </w:rPr>
        <w:t xml:space="preserve">, </w:t>
      </w:r>
    </w:p>
    <w:p w14:paraId="713A45A4" w14:textId="30086916" w:rsidR="00472678" w:rsidRPr="0001540B" w:rsidRDefault="00472678" w:rsidP="0001540B">
      <w:pPr>
        <w:spacing w:line="276" w:lineRule="auto"/>
        <w:jc w:val="right"/>
        <w:rPr>
          <w:b/>
          <w:bCs/>
          <w:szCs w:val="24"/>
          <w:lang w:val="nl-BE"/>
        </w:rPr>
      </w:pPr>
      <w:proofErr w:type="spellStart"/>
      <w:r w:rsidRPr="0001540B">
        <w:rPr>
          <w:b/>
          <w:szCs w:val="24"/>
        </w:rPr>
        <w:t>Лукьянина</w:t>
      </w:r>
      <w:proofErr w:type="spellEnd"/>
      <w:r w:rsidRPr="0001540B">
        <w:rPr>
          <w:b/>
          <w:szCs w:val="24"/>
        </w:rPr>
        <w:t xml:space="preserve"> Н. В.</w:t>
      </w:r>
      <w:r w:rsidRPr="0001540B">
        <w:rPr>
          <w:b/>
          <w:bCs/>
          <w:szCs w:val="24"/>
          <w:vertAlign w:val="superscript"/>
        </w:rPr>
        <w:t>1</w:t>
      </w:r>
      <w:r w:rsidRPr="0001540B">
        <w:rPr>
          <w:b/>
          <w:bCs/>
          <w:szCs w:val="24"/>
          <w:lang w:val="nl-BE"/>
        </w:rPr>
        <w:t>, Ж</w:t>
      </w:r>
      <w:r w:rsidRPr="0001540B">
        <w:rPr>
          <w:b/>
          <w:bCs/>
          <w:szCs w:val="24"/>
        </w:rPr>
        <w:t>.</w:t>
      </w:r>
      <w:r w:rsidRPr="0001540B">
        <w:rPr>
          <w:b/>
          <w:bCs/>
          <w:szCs w:val="24"/>
          <w:lang w:val="nl-BE"/>
        </w:rPr>
        <w:t>-Дж</w:t>
      </w:r>
      <w:r w:rsidRPr="0001540B">
        <w:rPr>
          <w:b/>
          <w:bCs/>
          <w:szCs w:val="24"/>
        </w:rPr>
        <w:t>.</w:t>
      </w:r>
      <w:r w:rsidRPr="0001540B">
        <w:rPr>
          <w:b/>
          <w:bCs/>
          <w:szCs w:val="24"/>
          <w:lang w:val="nl-BE"/>
        </w:rPr>
        <w:t xml:space="preserve"> Фан</w:t>
      </w:r>
      <w:r w:rsidR="0001540B" w:rsidRPr="0001540B">
        <w:rPr>
          <w:b/>
          <w:bCs/>
          <w:szCs w:val="24"/>
          <w:vertAlign w:val="superscript"/>
          <w:lang w:val="en-GB"/>
        </w:rPr>
        <w:t>2</w:t>
      </w:r>
      <w:r w:rsidRPr="0001540B">
        <w:rPr>
          <w:b/>
          <w:bCs/>
          <w:szCs w:val="24"/>
          <w:lang w:val="nl-BE"/>
        </w:rPr>
        <w:t>,</w:t>
      </w:r>
    </w:p>
    <w:p w14:paraId="638EA886" w14:textId="14B3CC94" w:rsidR="00472678" w:rsidRPr="0001540B" w:rsidRDefault="00472678" w:rsidP="0001540B">
      <w:pPr>
        <w:spacing w:line="276" w:lineRule="auto"/>
        <w:jc w:val="right"/>
        <w:rPr>
          <w:b/>
          <w:bCs/>
          <w:szCs w:val="24"/>
          <w:lang w:val="nl-BE"/>
        </w:rPr>
      </w:pPr>
      <w:r w:rsidRPr="0001540B">
        <w:rPr>
          <w:b/>
          <w:bCs/>
          <w:szCs w:val="24"/>
          <w:lang w:val="nl-BE"/>
        </w:rPr>
        <w:t>Т.</w:t>
      </w:r>
      <w:r w:rsidRPr="0001540B">
        <w:rPr>
          <w:b/>
          <w:bCs/>
          <w:szCs w:val="24"/>
        </w:rPr>
        <w:t xml:space="preserve"> </w:t>
      </w:r>
      <w:r w:rsidRPr="0001540B">
        <w:rPr>
          <w:b/>
          <w:bCs/>
          <w:szCs w:val="24"/>
          <w:lang w:val="nl-BE"/>
        </w:rPr>
        <w:t>В.</w:t>
      </w:r>
      <w:r w:rsidRPr="0001540B">
        <w:rPr>
          <w:b/>
          <w:bCs/>
          <w:szCs w:val="24"/>
        </w:rPr>
        <w:t xml:space="preserve"> </w:t>
      </w:r>
      <w:r w:rsidRPr="0001540B">
        <w:rPr>
          <w:b/>
          <w:bCs/>
          <w:szCs w:val="24"/>
          <w:lang w:val="nl-BE"/>
        </w:rPr>
        <w:t>Глухарева</w:t>
      </w:r>
      <w:r w:rsidRPr="0001540B">
        <w:rPr>
          <w:b/>
          <w:bCs/>
          <w:szCs w:val="24"/>
          <w:vertAlign w:val="superscript"/>
        </w:rPr>
        <w:t>1</w:t>
      </w:r>
    </w:p>
    <w:p w14:paraId="72E417EF" w14:textId="77777777" w:rsidR="00472678" w:rsidRPr="0001540B" w:rsidRDefault="00472678" w:rsidP="0001540B">
      <w:pPr>
        <w:spacing w:line="276" w:lineRule="auto"/>
        <w:jc w:val="center"/>
        <w:rPr>
          <w:b/>
          <w:noProof/>
          <w:szCs w:val="24"/>
        </w:rPr>
      </w:pPr>
    </w:p>
    <w:p w14:paraId="3377244F" w14:textId="77777777" w:rsidR="00472678" w:rsidRPr="0001540B" w:rsidRDefault="00472678" w:rsidP="0001540B">
      <w:pPr>
        <w:spacing w:line="276" w:lineRule="auto"/>
        <w:jc w:val="right"/>
        <w:rPr>
          <w:i/>
          <w:iCs/>
          <w:szCs w:val="24"/>
        </w:rPr>
      </w:pPr>
      <w:r w:rsidRPr="0001540B">
        <w:rPr>
          <w:bCs/>
          <w:i/>
          <w:iCs/>
          <w:szCs w:val="24"/>
          <w:vertAlign w:val="superscript"/>
        </w:rPr>
        <w:t>1</w:t>
      </w:r>
      <w:r w:rsidRPr="0001540B">
        <w:rPr>
          <w:i/>
          <w:iCs/>
          <w:szCs w:val="24"/>
        </w:rPr>
        <w:t>Уральский федеральный университет имени первого</w:t>
      </w:r>
    </w:p>
    <w:p w14:paraId="7CB8C788" w14:textId="77777777" w:rsidR="00472678" w:rsidRPr="0001540B" w:rsidRDefault="00472678" w:rsidP="0001540B">
      <w:pPr>
        <w:spacing w:line="276" w:lineRule="auto"/>
        <w:jc w:val="right"/>
        <w:rPr>
          <w:i/>
          <w:iCs/>
          <w:szCs w:val="24"/>
        </w:rPr>
      </w:pPr>
      <w:r w:rsidRPr="0001540B">
        <w:rPr>
          <w:i/>
          <w:iCs/>
          <w:szCs w:val="24"/>
        </w:rPr>
        <w:t>Президента России Б. Н. Ельцина,</w:t>
      </w:r>
    </w:p>
    <w:p w14:paraId="57CBAEA1" w14:textId="77777777" w:rsidR="00472678" w:rsidRPr="0001540B" w:rsidRDefault="00472678" w:rsidP="0001540B">
      <w:pPr>
        <w:spacing w:line="276" w:lineRule="auto"/>
        <w:jc w:val="right"/>
        <w:rPr>
          <w:i/>
          <w:iCs/>
          <w:szCs w:val="24"/>
        </w:rPr>
      </w:pPr>
      <w:r w:rsidRPr="0001540B">
        <w:rPr>
          <w:i/>
          <w:iCs/>
          <w:szCs w:val="24"/>
        </w:rPr>
        <w:t>620078, Россия, г. Екатеринбург, ул. Мира, 28,</w:t>
      </w:r>
    </w:p>
    <w:p w14:paraId="3BF74B01" w14:textId="77777777" w:rsidR="00472678" w:rsidRPr="0001540B" w:rsidRDefault="00472678" w:rsidP="0001540B">
      <w:pPr>
        <w:spacing w:line="276" w:lineRule="auto"/>
        <w:jc w:val="right"/>
        <w:rPr>
          <w:i/>
          <w:iCs/>
          <w:szCs w:val="24"/>
        </w:rPr>
      </w:pPr>
      <w:r w:rsidRPr="0001540B">
        <w:rPr>
          <w:i/>
          <w:iCs/>
          <w:szCs w:val="24"/>
        </w:rPr>
        <w:t>t.v.glukhareva@urfu.ru,</w:t>
      </w:r>
    </w:p>
    <w:p w14:paraId="55C00EA3" w14:textId="77777777" w:rsidR="00472678" w:rsidRPr="0001540B" w:rsidRDefault="00472678" w:rsidP="0001540B">
      <w:pPr>
        <w:spacing w:line="276" w:lineRule="auto"/>
        <w:jc w:val="right"/>
        <w:rPr>
          <w:i/>
          <w:iCs/>
          <w:szCs w:val="24"/>
        </w:rPr>
      </w:pPr>
      <w:r w:rsidRPr="0001540B">
        <w:rPr>
          <w:bCs/>
          <w:i/>
          <w:iCs/>
          <w:szCs w:val="24"/>
          <w:vertAlign w:val="superscript"/>
        </w:rPr>
        <w:t>3</w:t>
      </w:r>
      <w:r w:rsidRPr="0001540B">
        <w:rPr>
          <w:i/>
          <w:iCs/>
          <w:szCs w:val="24"/>
        </w:rPr>
        <w:t>Государственная лаборатория элементоорганической химии,</w:t>
      </w:r>
    </w:p>
    <w:p w14:paraId="43FE6D8A" w14:textId="77777777" w:rsidR="00472678" w:rsidRPr="0001540B" w:rsidRDefault="00472678" w:rsidP="0001540B">
      <w:pPr>
        <w:spacing w:line="276" w:lineRule="auto"/>
        <w:jc w:val="right"/>
        <w:rPr>
          <w:i/>
          <w:szCs w:val="24"/>
        </w:rPr>
      </w:pPr>
      <w:proofErr w:type="spellStart"/>
      <w:r w:rsidRPr="0001540B">
        <w:rPr>
          <w:i/>
          <w:szCs w:val="24"/>
        </w:rPr>
        <w:t>Нанкайский</w:t>
      </w:r>
      <w:proofErr w:type="spellEnd"/>
      <w:r w:rsidRPr="0001540B">
        <w:rPr>
          <w:i/>
          <w:szCs w:val="24"/>
        </w:rPr>
        <w:t xml:space="preserve"> университет,</w:t>
      </w:r>
    </w:p>
    <w:p w14:paraId="12BD174F" w14:textId="77777777" w:rsidR="00472678" w:rsidRPr="0001540B" w:rsidRDefault="00472678" w:rsidP="0001540B">
      <w:pPr>
        <w:spacing w:line="276" w:lineRule="auto"/>
        <w:jc w:val="right"/>
        <w:rPr>
          <w:i/>
          <w:szCs w:val="24"/>
        </w:rPr>
      </w:pPr>
      <w:r w:rsidRPr="0001540B">
        <w:rPr>
          <w:i/>
          <w:szCs w:val="24"/>
        </w:rPr>
        <w:t xml:space="preserve">300071, Китай, г. </w:t>
      </w:r>
      <w:proofErr w:type="spellStart"/>
      <w:r w:rsidRPr="0001540B">
        <w:rPr>
          <w:i/>
          <w:szCs w:val="24"/>
        </w:rPr>
        <w:t>Тяньцзинь</w:t>
      </w:r>
      <w:proofErr w:type="spellEnd"/>
      <w:r w:rsidRPr="0001540B">
        <w:rPr>
          <w:i/>
          <w:szCs w:val="24"/>
        </w:rPr>
        <w:t xml:space="preserve">, ул. </w:t>
      </w:r>
      <w:proofErr w:type="spellStart"/>
      <w:r w:rsidRPr="0001540B">
        <w:rPr>
          <w:i/>
          <w:szCs w:val="24"/>
        </w:rPr>
        <w:t>Вейджин</w:t>
      </w:r>
      <w:proofErr w:type="spellEnd"/>
      <w:r w:rsidRPr="0001540B">
        <w:rPr>
          <w:i/>
          <w:szCs w:val="24"/>
        </w:rPr>
        <w:t>, 94,</w:t>
      </w:r>
    </w:p>
    <w:p w14:paraId="7B33F2CF" w14:textId="77777777" w:rsidR="00472678" w:rsidRPr="0001540B" w:rsidRDefault="00472678" w:rsidP="0001540B">
      <w:pPr>
        <w:spacing w:line="276" w:lineRule="auto"/>
        <w:jc w:val="right"/>
        <w:rPr>
          <w:i/>
          <w:szCs w:val="24"/>
        </w:rPr>
      </w:pPr>
      <w:r w:rsidRPr="0001540B">
        <w:rPr>
          <w:i/>
          <w:szCs w:val="24"/>
        </w:rPr>
        <w:t>zjfan@nankai.cn</w:t>
      </w:r>
    </w:p>
    <w:p w14:paraId="12F6E97C" w14:textId="77777777" w:rsidR="00472678" w:rsidRPr="0001540B" w:rsidRDefault="00472678" w:rsidP="0001540B">
      <w:pPr>
        <w:spacing w:line="276" w:lineRule="auto"/>
        <w:jc w:val="right"/>
        <w:rPr>
          <w:szCs w:val="24"/>
          <w:lang w:val="fr-FR"/>
        </w:rPr>
      </w:pPr>
    </w:p>
    <w:p w14:paraId="2567FE4F" w14:textId="2C8BE9EB" w:rsidR="00472678" w:rsidRPr="0001540B" w:rsidRDefault="00472678" w:rsidP="0001540B">
      <w:pPr>
        <w:spacing w:line="276" w:lineRule="auto"/>
        <w:jc w:val="center"/>
        <w:rPr>
          <w:b/>
          <w:szCs w:val="24"/>
        </w:rPr>
      </w:pPr>
      <w:r w:rsidRPr="0001540B">
        <w:rPr>
          <w:b/>
          <w:caps/>
          <w:szCs w:val="24"/>
        </w:rPr>
        <w:t>Исследование способности стимулировать Системную Устойчивость растений производных</w:t>
      </w:r>
      <w:r w:rsidRPr="0001540B">
        <w:rPr>
          <w:b/>
          <w:caps/>
          <w:szCs w:val="24"/>
        </w:rPr>
        <w:br/>
        <w:t>1,2,3-селенодиазолилмочевины</w:t>
      </w:r>
    </w:p>
    <w:p w14:paraId="2193E262" w14:textId="77777777" w:rsidR="00472678" w:rsidRPr="0001540B" w:rsidRDefault="00472678" w:rsidP="0001540B">
      <w:pPr>
        <w:spacing w:line="276" w:lineRule="auto"/>
        <w:ind w:firstLine="709"/>
        <w:jc w:val="both"/>
        <w:rPr>
          <w:b/>
          <w:szCs w:val="24"/>
        </w:rPr>
      </w:pPr>
    </w:p>
    <w:p w14:paraId="4160A098" w14:textId="77777777" w:rsidR="00472678" w:rsidRPr="0001540B" w:rsidRDefault="00472678" w:rsidP="0001540B">
      <w:pPr>
        <w:spacing w:line="276" w:lineRule="auto"/>
        <w:ind w:firstLine="709"/>
        <w:jc w:val="both"/>
        <w:rPr>
          <w:szCs w:val="24"/>
        </w:rPr>
      </w:pPr>
      <w:r w:rsidRPr="0001540B">
        <w:rPr>
          <w:b/>
          <w:szCs w:val="24"/>
        </w:rPr>
        <w:t>Ключевые слова</w:t>
      </w:r>
      <w:r w:rsidRPr="0001540B">
        <w:rPr>
          <w:szCs w:val="24"/>
        </w:rPr>
        <w:t xml:space="preserve">: </w:t>
      </w:r>
      <w:proofErr w:type="spellStart"/>
      <w:r w:rsidRPr="0001540B">
        <w:rPr>
          <w:szCs w:val="24"/>
        </w:rPr>
        <w:t>элиситоры</w:t>
      </w:r>
      <w:proofErr w:type="spellEnd"/>
      <w:r w:rsidRPr="0001540B">
        <w:rPr>
          <w:szCs w:val="24"/>
        </w:rPr>
        <w:t>, системная приобретенная устойчивость, индукторы СПУ, 1,2,3-селенодиазол.</w:t>
      </w:r>
    </w:p>
    <w:p w14:paraId="32FDBCA3" w14:textId="77777777" w:rsidR="00472678" w:rsidRPr="0001540B" w:rsidRDefault="00472678" w:rsidP="0001540B">
      <w:pPr>
        <w:spacing w:line="276" w:lineRule="auto"/>
        <w:ind w:firstLine="709"/>
        <w:jc w:val="both"/>
        <w:rPr>
          <w:szCs w:val="24"/>
        </w:rPr>
      </w:pPr>
    </w:p>
    <w:p w14:paraId="4B3A95C0" w14:textId="77777777" w:rsidR="00472678" w:rsidRPr="0001540B" w:rsidRDefault="00472678" w:rsidP="0001540B">
      <w:pPr>
        <w:pStyle w:val="a5"/>
        <w:spacing w:line="276" w:lineRule="auto"/>
        <w:ind w:firstLine="709"/>
        <w:contextualSpacing/>
        <w:jc w:val="both"/>
      </w:pPr>
      <w:r w:rsidRPr="0001540B">
        <w:t xml:space="preserve">Большая потеря урожая сельскохозяйственных растений связана в основном с грибковыми и бактериальными поражениями растений. Вирусные заболевания растений распространены менее широко, но в тоже время являются более опасными. Это связано с тем, что вирусы полностью поражают сосудистую систему растений и эффективных препаратов для их лечения практически не существует [1]. </w:t>
      </w:r>
    </w:p>
    <w:p w14:paraId="24BC3CEF" w14:textId="77777777" w:rsidR="00472678" w:rsidRPr="0001540B" w:rsidRDefault="00472678" w:rsidP="0001540B">
      <w:pPr>
        <w:pStyle w:val="a5"/>
        <w:spacing w:line="276" w:lineRule="auto"/>
        <w:ind w:firstLine="709"/>
        <w:jc w:val="both"/>
      </w:pPr>
      <w:r w:rsidRPr="0001540B">
        <w:t xml:space="preserve">Нами были получены структурные аналоги синтетических активаторов СПУ, </w:t>
      </w:r>
      <w:proofErr w:type="spellStart"/>
      <w:r w:rsidRPr="0001540B">
        <w:t>тиадинила</w:t>
      </w:r>
      <w:proofErr w:type="spellEnd"/>
      <w:r w:rsidRPr="0001540B">
        <w:t xml:space="preserve"> и </w:t>
      </w:r>
      <w:proofErr w:type="spellStart"/>
      <w:r w:rsidRPr="0001540B">
        <w:t>метиадинила</w:t>
      </w:r>
      <w:proofErr w:type="spellEnd"/>
      <w:r w:rsidRPr="0001540B">
        <w:t xml:space="preserve">, производные 1,2,3-селенодиазолилмочевин </w:t>
      </w:r>
      <w:r w:rsidRPr="0001540B">
        <w:rPr>
          <w:b/>
        </w:rPr>
        <w:t>1</w:t>
      </w:r>
      <w:r w:rsidRPr="0001540B">
        <w:rPr>
          <w:b/>
          <w:lang w:val="en-US"/>
        </w:rPr>
        <w:t>a</w:t>
      </w:r>
      <w:r w:rsidRPr="0001540B">
        <w:rPr>
          <w:b/>
        </w:rPr>
        <w:t>-</w:t>
      </w:r>
      <w:r w:rsidRPr="0001540B">
        <w:rPr>
          <w:b/>
          <w:lang w:val="en-US"/>
        </w:rPr>
        <w:t>m</w:t>
      </w:r>
      <w:r w:rsidRPr="0001540B">
        <w:t xml:space="preserve"> по методике, разработанной нами ранее [9].</w:t>
      </w:r>
    </w:p>
    <w:p w14:paraId="647A522C" w14:textId="68D0ED67" w:rsidR="00472678" w:rsidRPr="0001540B" w:rsidRDefault="00472678" w:rsidP="0001540B">
      <w:pPr>
        <w:pStyle w:val="a5"/>
        <w:spacing w:line="276" w:lineRule="auto"/>
        <w:jc w:val="center"/>
      </w:pPr>
    </w:p>
    <w:p w14:paraId="43AF4869" w14:textId="161FCC97" w:rsidR="00472678" w:rsidRDefault="0001540B" w:rsidP="0001540B">
      <w:pPr>
        <w:pStyle w:val="a5"/>
        <w:spacing w:line="276" w:lineRule="auto"/>
        <w:jc w:val="center"/>
      </w:pPr>
      <w:r w:rsidRPr="0001540B">
        <w:object w:dxaOrig="5220" w:dyaOrig="1860" w14:anchorId="06DDD80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423pt;height:150.75pt" o:ole="">
            <v:imagedata r:id="rId5" o:title=""/>
          </v:shape>
          <o:OLEObject Type="Embed" ProgID="ISISServer" ShapeID="_x0000_i1031" DrawAspect="Content" ObjectID="_1658755666" r:id="rId6"/>
        </w:object>
      </w:r>
    </w:p>
    <w:p w14:paraId="109E1395" w14:textId="77777777" w:rsidR="0001540B" w:rsidRPr="0001540B" w:rsidRDefault="0001540B" w:rsidP="0001540B">
      <w:pPr>
        <w:pStyle w:val="a5"/>
        <w:spacing w:line="276" w:lineRule="auto"/>
        <w:jc w:val="center"/>
      </w:pPr>
    </w:p>
    <w:p w14:paraId="7937CA2C" w14:textId="79ECA75F" w:rsidR="00472678" w:rsidRPr="0001540B" w:rsidRDefault="00472678" w:rsidP="0001540B">
      <w:pPr>
        <w:pStyle w:val="a5"/>
        <w:spacing w:line="276" w:lineRule="auto"/>
        <w:rPr>
          <w:iCs/>
        </w:rPr>
      </w:pPr>
      <w:r w:rsidRPr="0001540B">
        <w:rPr>
          <w:iCs/>
        </w:rPr>
        <w:t xml:space="preserve">© Калинина Т. А., Высокова О. А., </w:t>
      </w:r>
      <w:proofErr w:type="spellStart"/>
      <w:r w:rsidRPr="0001540B">
        <w:rPr>
          <w:iCs/>
        </w:rPr>
        <w:t>Лукьянина</w:t>
      </w:r>
      <w:proofErr w:type="spellEnd"/>
      <w:r w:rsidRPr="0001540B">
        <w:rPr>
          <w:iCs/>
        </w:rPr>
        <w:t xml:space="preserve"> Н. В., Фан Ж.-Дж., Глухарева Т. В., 2019</w:t>
      </w:r>
      <w:r w:rsidRPr="0001540B">
        <w:rPr>
          <w:iCs/>
        </w:rPr>
        <w:br w:type="page"/>
      </w:r>
    </w:p>
    <w:p w14:paraId="6C53E0C9" w14:textId="77777777" w:rsidR="00472678" w:rsidRPr="0001540B" w:rsidRDefault="00472678" w:rsidP="0001540B">
      <w:pPr>
        <w:spacing w:line="276" w:lineRule="auto"/>
        <w:ind w:firstLine="709"/>
        <w:jc w:val="both"/>
        <w:rPr>
          <w:i/>
          <w:szCs w:val="24"/>
        </w:rPr>
      </w:pPr>
      <w:r w:rsidRPr="0001540B">
        <w:rPr>
          <w:i/>
          <w:szCs w:val="24"/>
        </w:rPr>
        <w:lastRenderedPageBreak/>
        <w:t>Продолжение текста публикуемого материала …</w:t>
      </w:r>
    </w:p>
    <w:p w14:paraId="68E360F3" w14:textId="77777777" w:rsidR="00472678" w:rsidRPr="0001540B" w:rsidRDefault="00472678" w:rsidP="0001540B">
      <w:pPr>
        <w:pStyle w:val="a5"/>
        <w:spacing w:line="276" w:lineRule="auto"/>
        <w:jc w:val="center"/>
      </w:pPr>
      <w:r w:rsidRPr="0001540B">
        <w:rPr>
          <w:noProof/>
        </w:rPr>
        <w:drawing>
          <wp:inline distT="0" distB="0" distL="0" distR="0" wp14:anchorId="2A905A12" wp14:editId="7EDC3B27">
            <wp:extent cx="1191895" cy="992505"/>
            <wp:effectExtent l="0" t="0" r="8255" b="0"/>
            <wp:docPr id="9" name="Рисунок 9" descr="IMG_2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_286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5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992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40B">
        <w:t xml:space="preserve"> </w:t>
      </w:r>
      <w:r w:rsidRPr="0001540B">
        <w:rPr>
          <w:noProof/>
        </w:rPr>
        <w:drawing>
          <wp:inline distT="0" distB="0" distL="0" distR="0" wp14:anchorId="61D64678" wp14:editId="745A5ACF">
            <wp:extent cx="1399540" cy="1009650"/>
            <wp:effectExtent l="0" t="0" r="0" b="0"/>
            <wp:docPr id="7" name="Рисунок 7" descr="3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3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40B">
        <w:rPr>
          <w:noProof/>
        </w:rPr>
        <w:drawing>
          <wp:inline distT="0" distB="0" distL="0" distR="0" wp14:anchorId="495AA2A5" wp14:editId="351E8010">
            <wp:extent cx="1265555" cy="875665"/>
            <wp:effectExtent l="0" t="0" r="0" b="635"/>
            <wp:docPr id="6" name="Рисунок 6" descr="IMG_E28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IMG_E28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540B">
        <w:rPr>
          <w:noProof/>
        </w:rPr>
        <w:t xml:space="preserve"> </w:t>
      </w:r>
      <w:r w:rsidRPr="0001540B">
        <w:rPr>
          <w:noProof/>
        </w:rPr>
        <w:drawing>
          <wp:inline distT="0" distB="0" distL="0" distR="0" wp14:anchorId="6E23C3C5" wp14:editId="6D1A5439">
            <wp:extent cx="1287145" cy="970915"/>
            <wp:effectExtent l="0" t="0" r="8255" b="635"/>
            <wp:docPr id="5" name="Рисунок 5" descr="Water Induction 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ater Induction 201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14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B33B3" w14:textId="77777777" w:rsidR="00472678" w:rsidRPr="0001540B" w:rsidRDefault="00472678" w:rsidP="0001540B">
      <w:pPr>
        <w:pStyle w:val="a5"/>
        <w:spacing w:line="276" w:lineRule="auto"/>
        <w:ind w:left="2123" w:firstLine="1"/>
        <w:contextualSpacing/>
        <w:rPr>
          <w:b/>
        </w:rPr>
      </w:pPr>
      <w:r w:rsidRPr="0001540B">
        <w:rPr>
          <w:b/>
        </w:rPr>
        <w:t>1</w:t>
      </w:r>
      <w:r w:rsidRPr="0001540B">
        <w:rPr>
          <w:b/>
          <w:lang w:val="en-US"/>
        </w:rPr>
        <w:t>k</w:t>
      </w:r>
      <w:r w:rsidRPr="0001540B">
        <w:rPr>
          <w:b/>
        </w:rPr>
        <w:tab/>
      </w:r>
      <w:r w:rsidRPr="0001540B">
        <w:rPr>
          <w:b/>
        </w:rPr>
        <w:tab/>
      </w:r>
      <w:r w:rsidRPr="0001540B">
        <w:rPr>
          <w:b/>
        </w:rPr>
        <w:tab/>
        <w:t>1</w:t>
      </w:r>
      <w:r w:rsidRPr="0001540B">
        <w:rPr>
          <w:b/>
          <w:lang w:val="en-US"/>
        </w:rPr>
        <w:t>l</w:t>
      </w:r>
      <w:r w:rsidRPr="0001540B">
        <w:rPr>
          <w:b/>
        </w:rPr>
        <w:tab/>
      </w:r>
      <w:r w:rsidRPr="0001540B">
        <w:rPr>
          <w:b/>
        </w:rPr>
        <w:tab/>
      </w:r>
      <w:r w:rsidRPr="0001540B">
        <w:rPr>
          <w:b/>
          <w:lang w:val="en-US"/>
        </w:rPr>
        <w:t>TDL</w:t>
      </w:r>
      <w:r w:rsidRPr="0001540B">
        <w:rPr>
          <w:b/>
        </w:rPr>
        <w:tab/>
      </w:r>
      <w:r w:rsidRPr="0001540B">
        <w:rPr>
          <w:b/>
        </w:rPr>
        <w:tab/>
      </w:r>
      <w:r w:rsidRPr="0001540B">
        <w:rPr>
          <w:b/>
        </w:rPr>
        <w:tab/>
        <w:t>вода</w:t>
      </w:r>
    </w:p>
    <w:p w14:paraId="26CB49AC" w14:textId="77777777" w:rsidR="00472678" w:rsidRPr="0001540B" w:rsidRDefault="00472678" w:rsidP="0001540B">
      <w:pPr>
        <w:pStyle w:val="a5"/>
        <w:spacing w:line="276" w:lineRule="auto"/>
        <w:ind w:firstLine="709"/>
        <w:jc w:val="center"/>
      </w:pPr>
      <w:r w:rsidRPr="0001540B">
        <w:t xml:space="preserve">Рисунок 1. Листья табака, обработанные соединением </w:t>
      </w:r>
      <w:r w:rsidRPr="0001540B">
        <w:rPr>
          <w:b/>
        </w:rPr>
        <w:t>1</w:t>
      </w:r>
      <w:r w:rsidRPr="0001540B">
        <w:rPr>
          <w:b/>
          <w:lang w:val="en-US"/>
        </w:rPr>
        <w:t>k</w:t>
      </w:r>
      <w:r w:rsidRPr="0001540B">
        <w:t xml:space="preserve">, </w:t>
      </w:r>
      <w:r w:rsidRPr="0001540B">
        <w:rPr>
          <w:b/>
        </w:rPr>
        <w:t>1</w:t>
      </w:r>
      <w:r w:rsidRPr="0001540B">
        <w:rPr>
          <w:b/>
          <w:lang w:val="en-US"/>
        </w:rPr>
        <w:t>l</w:t>
      </w:r>
      <w:r w:rsidRPr="0001540B">
        <w:t xml:space="preserve">, </w:t>
      </w:r>
      <w:r w:rsidRPr="0001540B">
        <w:rPr>
          <w:b/>
          <w:lang w:val="en-US"/>
        </w:rPr>
        <w:t>TDL</w:t>
      </w:r>
      <w:r w:rsidRPr="0001540B">
        <w:t>, водой</w:t>
      </w:r>
    </w:p>
    <w:p w14:paraId="5FD617D6" w14:textId="77777777" w:rsidR="00472678" w:rsidRPr="0001540B" w:rsidRDefault="00472678" w:rsidP="0001540B">
      <w:pPr>
        <w:spacing w:line="276" w:lineRule="auto"/>
        <w:ind w:firstLine="709"/>
        <w:jc w:val="both"/>
        <w:rPr>
          <w:szCs w:val="24"/>
        </w:rPr>
      </w:pPr>
      <w:r w:rsidRPr="0001540B">
        <w:rPr>
          <w:szCs w:val="24"/>
        </w:rPr>
        <w:t xml:space="preserve">Продолжение текста публикуемого материала </w:t>
      </w:r>
      <w:proofErr w:type="gramStart"/>
      <w:r w:rsidRPr="0001540B">
        <w:rPr>
          <w:szCs w:val="24"/>
        </w:rPr>
        <w:t>…(</w:t>
      </w:r>
      <w:proofErr w:type="gramEnd"/>
      <w:r w:rsidRPr="0001540B">
        <w:rPr>
          <w:szCs w:val="24"/>
        </w:rPr>
        <w:t>табл. 1).</w:t>
      </w:r>
    </w:p>
    <w:p w14:paraId="335D4A1B" w14:textId="77777777" w:rsidR="00472678" w:rsidRPr="0001540B" w:rsidRDefault="00472678" w:rsidP="0001540B">
      <w:pPr>
        <w:spacing w:line="276" w:lineRule="auto"/>
        <w:ind w:firstLine="709"/>
        <w:jc w:val="right"/>
        <w:rPr>
          <w:szCs w:val="24"/>
        </w:rPr>
      </w:pPr>
      <w:r w:rsidRPr="0001540B">
        <w:rPr>
          <w:szCs w:val="24"/>
        </w:rPr>
        <w:t>Таблица 1</w:t>
      </w:r>
    </w:p>
    <w:p w14:paraId="1CF0ADBA" w14:textId="77777777" w:rsidR="00472678" w:rsidRPr="0001540B" w:rsidRDefault="00472678" w:rsidP="0001540B">
      <w:pPr>
        <w:spacing w:line="276" w:lineRule="auto"/>
        <w:ind w:firstLine="709"/>
        <w:jc w:val="center"/>
        <w:rPr>
          <w:szCs w:val="24"/>
        </w:rPr>
      </w:pPr>
      <w:r w:rsidRPr="0001540B">
        <w:rPr>
          <w:szCs w:val="24"/>
        </w:rPr>
        <w:t>Свойства нового материала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1690"/>
        <w:gridCol w:w="1620"/>
        <w:gridCol w:w="1620"/>
      </w:tblGrid>
      <w:tr w:rsidR="00472678" w:rsidRPr="0001540B" w14:paraId="63886BAF" w14:textId="77777777" w:rsidTr="0001540B">
        <w:trPr>
          <w:jc w:val="center"/>
        </w:trPr>
        <w:tc>
          <w:tcPr>
            <w:tcW w:w="2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9B9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Свойства</w:t>
            </w:r>
          </w:p>
        </w:tc>
        <w:tc>
          <w:tcPr>
            <w:tcW w:w="49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5BE09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Номер образца</w:t>
            </w:r>
          </w:p>
        </w:tc>
      </w:tr>
      <w:tr w:rsidR="00472678" w:rsidRPr="0001540B" w14:paraId="6C585C61" w14:textId="77777777" w:rsidTr="0001540B">
        <w:trPr>
          <w:jc w:val="center"/>
        </w:trPr>
        <w:tc>
          <w:tcPr>
            <w:tcW w:w="2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801B4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8603CB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Образец №1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C85CC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Образец №2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5B11D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Образец №3</w:t>
            </w:r>
          </w:p>
        </w:tc>
      </w:tr>
      <w:tr w:rsidR="00472678" w:rsidRPr="0001540B" w14:paraId="0CDA6385" w14:textId="77777777" w:rsidTr="000154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CF3F2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Длина проростка, см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74461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55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749A8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74CB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77</w:t>
            </w:r>
          </w:p>
        </w:tc>
      </w:tr>
      <w:tr w:rsidR="00472678" w:rsidRPr="0001540B" w14:paraId="1AB59153" w14:textId="77777777" w:rsidTr="0001540B">
        <w:trPr>
          <w:jc w:val="center"/>
        </w:trPr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89BA4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Удлинение, мм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7B080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B1B1B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23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BB758" w14:textId="77777777" w:rsidR="00472678" w:rsidRPr="0001540B" w:rsidRDefault="00472678" w:rsidP="0001540B">
            <w:pPr>
              <w:spacing w:line="276" w:lineRule="auto"/>
              <w:jc w:val="center"/>
              <w:rPr>
                <w:szCs w:val="24"/>
              </w:rPr>
            </w:pPr>
            <w:r w:rsidRPr="0001540B">
              <w:rPr>
                <w:szCs w:val="24"/>
              </w:rPr>
              <w:t>34</w:t>
            </w:r>
          </w:p>
        </w:tc>
      </w:tr>
    </w:tbl>
    <w:p w14:paraId="40CF4C00" w14:textId="77777777" w:rsidR="0001540B" w:rsidRDefault="0001540B" w:rsidP="0001540B">
      <w:pPr>
        <w:spacing w:line="276" w:lineRule="auto"/>
        <w:ind w:firstLine="709"/>
        <w:jc w:val="both"/>
        <w:rPr>
          <w:szCs w:val="24"/>
        </w:rPr>
      </w:pPr>
    </w:p>
    <w:p w14:paraId="4294D56C" w14:textId="5CF8688A" w:rsidR="00472678" w:rsidRPr="0001540B" w:rsidRDefault="00472678" w:rsidP="0001540B">
      <w:pPr>
        <w:spacing w:line="276" w:lineRule="auto"/>
        <w:ind w:firstLine="709"/>
        <w:jc w:val="both"/>
        <w:rPr>
          <w:szCs w:val="24"/>
        </w:rPr>
      </w:pPr>
      <w:r w:rsidRPr="0001540B">
        <w:rPr>
          <w:szCs w:val="24"/>
        </w:rPr>
        <w:t xml:space="preserve">Таким образом, в ходе проведенного эксперимента, нами обнаружены соединения в ряду 1,2,3-селенодиазолов, стимулирующие СПУ растений на уровне коммерческого препарата </w:t>
      </w:r>
      <w:proofErr w:type="spellStart"/>
      <w:r w:rsidRPr="0001540B">
        <w:rPr>
          <w:szCs w:val="24"/>
        </w:rPr>
        <w:t>тиадинила</w:t>
      </w:r>
      <w:proofErr w:type="spellEnd"/>
      <w:r w:rsidRPr="0001540B">
        <w:rPr>
          <w:szCs w:val="24"/>
        </w:rPr>
        <w:t>.</w:t>
      </w:r>
    </w:p>
    <w:p w14:paraId="62CC79E2" w14:textId="31729722" w:rsidR="00472678" w:rsidRPr="00CA3A25" w:rsidRDefault="00CA3A25" w:rsidP="0001540B">
      <w:pPr>
        <w:spacing w:line="276" w:lineRule="auto"/>
        <w:ind w:firstLine="709"/>
        <w:jc w:val="both"/>
        <w:rPr>
          <w:i/>
          <w:szCs w:val="24"/>
        </w:rPr>
      </w:pPr>
      <w:r w:rsidRPr="00CA3A25">
        <w:rPr>
          <w:i/>
          <w:iCs/>
          <w:szCs w:val="24"/>
        </w:rPr>
        <w:t>Работа выполнена при поддержке гранта РНФ 16-16-04022.</w:t>
      </w:r>
    </w:p>
    <w:p w14:paraId="596CB149" w14:textId="77777777" w:rsidR="00472678" w:rsidRPr="0001540B" w:rsidRDefault="00472678" w:rsidP="0001540B">
      <w:pPr>
        <w:spacing w:line="276" w:lineRule="auto"/>
        <w:jc w:val="center"/>
        <w:rPr>
          <w:rFonts w:eastAsia="PMingLiU"/>
          <w:szCs w:val="24"/>
          <w:lang w:eastAsia="zh-TW"/>
        </w:rPr>
      </w:pPr>
      <w:r w:rsidRPr="0001540B">
        <w:rPr>
          <w:b/>
          <w:szCs w:val="24"/>
        </w:rPr>
        <w:t>Сп</w:t>
      </w:r>
      <w:bookmarkStart w:id="0" w:name="_GoBack"/>
      <w:bookmarkEnd w:id="0"/>
      <w:r w:rsidRPr="0001540B">
        <w:rPr>
          <w:b/>
          <w:szCs w:val="24"/>
        </w:rPr>
        <w:t>исок литературы</w:t>
      </w:r>
    </w:p>
    <w:p w14:paraId="39DA23B9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/>
        <w:jc w:val="both"/>
        <w:rPr>
          <w:lang w:val="en-US"/>
        </w:rPr>
      </w:pPr>
      <w:r w:rsidRPr="0001540B">
        <w:rPr>
          <w:i/>
          <w:iCs/>
          <w:lang w:val="en-US"/>
        </w:rPr>
        <w:t xml:space="preserve">Tennant P., </w:t>
      </w:r>
      <w:proofErr w:type="spellStart"/>
      <w:r w:rsidRPr="0001540B">
        <w:rPr>
          <w:i/>
          <w:iCs/>
          <w:lang w:val="en-US"/>
        </w:rPr>
        <w:t>G’bba</w:t>
      </w:r>
      <w:proofErr w:type="spellEnd"/>
      <w:r w:rsidRPr="0001540B">
        <w:rPr>
          <w:i/>
          <w:iCs/>
          <w:lang w:val="en-US"/>
        </w:rPr>
        <w:t xml:space="preserve"> A., </w:t>
      </w:r>
      <w:proofErr w:type="spellStart"/>
      <w:r w:rsidRPr="0001540B">
        <w:rPr>
          <w:i/>
          <w:iCs/>
          <w:lang w:val="en-US"/>
        </w:rPr>
        <w:t>Roye</w:t>
      </w:r>
      <w:proofErr w:type="spellEnd"/>
      <w:r w:rsidRPr="0001540B">
        <w:rPr>
          <w:i/>
          <w:iCs/>
          <w:lang w:val="en-US"/>
        </w:rPr>
        <w:t xml:space="preserve"> M., </w:t>
      </w:r>
      <w:proofErr w:type="spellStart"/>
      <w:r w:rsidRPr="0001540B">
        <w:rPr>
          <w:i/>
          <w:iCs/>
          <w:lang w:val="en-US"/>
        </w:rPr>
        <w:t>Fermin</w:t>
      </w:r>
      <w:proofErr w:type="spellEnd"/>
      <w:r w:rsidRPr="0001540B">
        <w:rPr>
          <w:i/>
          <w:iCs/>
          <w:lang w:val="en-US"/>
        </w:rPr>
        <w:t xml:space="preserve"> G. </w:t>
      </w:r>
      <w:r w:rsidRPr="0001540B">
        <w:rPr>
          <w:lang w:val="en-US"/>
        </w:rPr>
        <w:t>Viruses: Molecular Biology // Host Interactions, and Applications to Biotechnology. P. 135</w:t>
      </w:r>
      <w:r w:rsidRPr="0001540B">
        <w:rPr>
          <w:lang w:val="en-US"/>
        </w:rPr>
        <w:noBreakHyphen/>
        <w:t>156 (2018).</w:t>
      </w:r>
    </w:p>
    <w:p w14:paraId="009940C2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/>
        <w:jc w:val="both"/>
        <w:rPr>
          <w:lang w:val="en-US"/>
        </w:rPr>
      </w:pPr>
      <w:r w:rsidRPr="0001540B">
        <w:rPr>
          <w:i/>
          <w:iCs/>
          <w:lang w:val="en-US"/>
        </w:rPr>
        <w:t>Huang H.-C., Wu M.-T</w:t>
      </w:r>
      <w:r w:rsidRPr="0001540B">
        <w:rPr>
          <w:lang w:val="en-US"/>
        </w:rPr>
        <w:t>. // Plant Pathology Bulletin. 2009. Vol. 18, P. 1</w:t>
      </w:r>
      <w:r w:rsidRPr="0001540B">
        <w:rPr>
          <w:lang w:val="en-US"/>
        </w:rPr>
        <w:noBreakHyphen/>
        <w:t>12.</w:t>
      </w:r>
    </w:p>
    <w:p w14:paraId="12561012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/>
        <w:jc w:val="both"/>
        <w:rPr>
          <w:lang w:val="en-US"/>
        </w:rPr>
      </w:pPr>
      <w:r w:rsidRPr="0001540B">
        <w:rPr>
          <w:i/>
          <w:iCs/>
          <w:lang w:val="en-US"/>
        </w:rPr>
        <w:t>Das S. K.</w:t>
      </w:r>
      <w:r w:rsidRPr="0001540B">
        <w:rPr>
          <w:lang w:val="en-US"/>
        </w:rPr>
        <w:t xml:space="preserve"> // J. of Atoms and Molecules. 2014. Vol. 4. P. 45–51.</w:t>
      </w:r>
    </w:p>
    <w:p w14:paraId="0AB341DC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/>
        <w:jc w:val="both"/>
        <w:rPr>
          <w:lang w:val="en-US"/>
        </w:rPr>
      </w:pPr>
      <w:r w:rsidRPr="0001540B">
        <w:rPr>
          <w:i/>
          <w:iCs/>
          <w:lang w:val="en-US"/>
        </w:rPr>
        <w:t xml:space="preserve">Y. </w:t>
      </w:r>
      <w:proofErr w:type="spellStart"/>
      <w:r w:rsidRPr="0001540B">
        <w:rPr>
          <w:i/>
          <w:iCs/>
          <w:lang w:val="en-US"/>
        </w:rPr>
        <w:t>Bektas</w:t>
      </w:r>
      <w:proofErr w:type="spellEnd"/>
      <w:r w:rsidRPr="0001540B">
        <w:rPr>
          <w:i/>
          <w:iCs/>
          <w:lang w:val="en-US"/>
        </w:rPr>
        <w:t xml:space="preserve">, </w:t>
      </w:r>
      <w:proofErr w:type="spellStart"/>
      <w:r w:rsidRPr="0001540B">
        <w:rPr>
          <w:i/>
          <w:iCs/>
          <w:lang w:val="en-US"/>
        </w:rPr>
        <w:t>Eulgem</w:t>
      </w:r>
      <w:proofErr w:type="spellEnd"/>
      <w:r w:rsidRPr="0001540B">
        <w:rPr>
          <w:i/>
          <w:iCs/>
          <w:lang w:val="en-US"/>
        </w:rPr>
        <w:t xml:space="preserve"> T. </w:t>
      </w:r>
      <w:r w:rsidRPr="0001540B">
        <w:rPr>
          <w:lang w:val="en-US"/>
        </w:rPr>
        <w:t>// Frontiers in plant science. 2014. Bol. 5. P.1–17.</w:t>
      </w:r>
    </w:p>
    <w:p w14:paraId="19F24032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/>
        <w:jc w:val="both"/>
        <w:rPr>
          <w:lang w:val="en-US"/>
        </w:rPr>
      </w:pPr>
      <w:proofErr w:type="spellStart"/>
      <w:r w:rsidRPr="0001540B">
        <w:rPr>
          <w:i/>
          <w:iCs/>
          <w:lang w:val="en-US"/>
        </w:rPr>
        <w:t>Kessmann</w:t>
      </w:r>
      <w:proofErr w:type="spellEnd"/>
      <w:r w:rsidRPr="0001540B">
        <w:rPr>
          <w:i/>
          <w:iCs/>
          <w:lang w:val="en-US"/>
        </w:rPr>
        <w:t xml:space="preserve"> H., </w:t>
      </w:r>
      <w:proofErr w:type="spellStart"/>
      <w:r w:rsidRPr="0001540B">
        <w:rPr>
          <w:i/>
          <w:iCs/>
          <w:lang w:val="en-US"/>
        </w:rPr>
        <w:t>Staub</w:t>
      </w:r>
      <w:proofErr w:type="spellEnd"/>
      <w:r w:rsidRPr="0001540B">
        <w:rPr>
          <w:i/>
          <w:iCs/>
          <w:lang w:val="en-US"/>
        </w:rPr>
        <w:t xml:space="preserve"> T., </w:t>
      </w:r>
      <w:proofErr w:type="spellStart"/>
      <w:r w:rsidRPr="0001540B">
        <w:rPr>
          <w:i/>
          <w:iCs/>
          <w:lang w:val="en-US"/>
        </w:rPr>
        <w:t>Ligon</w:t>
      </w:r>
      <w:proofErr w:type="spellEnd"/>
      <w:r w:rsidRPr="0001540B">
        <w:rPr>
          <w:i/>
          <w:iCs/>
          <w:lang w:val="en-US"/>
        </w:rPr>
        <w:t xml:space="preserve"> J., </w:t>
      </w:r>
      <w:proofErr w:type="spellStart"/>
      <w:r w:rsidRPr="0001540B">
        <w:rPr>
          <w:i/>
          <w:iCs/>
          <w:lang w:val="en-US"/>
        </w:rPr>
        <w:t>Oostendorp</w:t>
      </w:r>
      <w:proofErr w:type="spellEnd"/>
      <w:r w:rsidRPr="0001540B">
        <w:rPr>
          <w:i/>
          <w:iCs/>
          <w:lang w:val="en-US"/>
        </w:rPr>
        <w:t xml:space="preserve"> M., </w:t>
      </w:r>
      <w:proofErr w:type="spellStart"/>
      <w:r w:rsidRPr="0001540B">
        <w:rPr>
          <w:i/>
          <w:iCs/>
          <w:lang w:val="en-US"/>
        </w:rPr>
        <w:t>Ryals</w:t>
      </w:r>
      <w:proofErr w:type="spellEnd"/>
      <w:r w:rsidRPr="0001540B">
        <w:rPr>
          <w:i/>
          <w:iCs/>
          <w:lang w:val="en-US"/>
        </w:rPr>
        <w:t xml:space="preserve"> J</w:t>
      </w:r>
      <w:r w:rsidRPr="0001540B">
        <w:rPr>
          <w:lang w:val="en-US"/>
        </w:rPr>
        <w:t xml:space="preserve">. // European J. of Plant Pathology 100. 1994. P. 359–369. </w:t>
      </w:r>
    </w:p>
    <w:p w14:paraId="7D9580E2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/>
        <w:jc w:val="both"/>
        <w:rPr>
          <w:lang w:val="en-US"/>
        </w:rPr>
      </w:pPr>
      <w:r w:rsidRPr="0001540B">
        <w:rPr>
          <w:i/>
          <w:iCs/>
          <w:lang w:val="en-US"/>
        </w:rPr>
        <w:t xml:space="preserve">Zine H., </w:t>
      </w:r>
      <w:proofErr w:type="spellStart"/>
      <w:r w:rsidRPr="0001540B">
        <w:rPr>
          <w:i/>
          <w:iCs/>
          <w:lang w:val="en-US"/>
        </w:rPr>
        <w:t>Rifai</w:t>
      </w:r>
      <w:proofErr w:type="spellEnd"/>
      <w:r w:rsidRPr="0001540B">
        <w:rPr>
          <w:i/>
          <w:iCs/>
          <w:lang w:val="en-US"/>
        </w:rPr>
        <w:t xml:space="preserve"> L. A., </w:t>
      </w:r>
      <w:proofErr w:type="spellStart"/>
      <w:r w:rsidRPr="0001540B">
        <w:rPr>
          <w:i/>
          <w:iCs/>
          <w:lang w:val="en-US"/>
        </w:rPr>
        <w:t>Faize</w:t>
      </w:r>
      <w:proofErr w:type="spellEnd"/>
      <w:r w:rsidRPr="0001540B">
        <w:rPr>
          <w:i/>
          <w:iCs/>
          <w:lang w:val="en-US"/>
        </w:rPr>
        <w:t xml:space="preserve"> M., </w:t>
      </w:r>
      <w:proofErr w:type="spellStart"/>
      <w:r w:rsidRPr="0001540B">
        <w:rPr>
          <w:i/>
          <w:iCs/>
          <w:lang w:val="en-US"/>
        </w:rPr>
        <w:t>Bentiss</w:t>
      </w:r>
      <w:proofErr w:type="spellEnd"/>
      <w:r w:rsidRPr="0001540B">
        <w:rPr>
          <w:i/>
          <w:iCs/>
          <w:lang w:val="en-US"/>
        </w:rPr>
        <w:t xml:space="preserve"> F., </w:t>
      </w:r>
      <w:proofErr w:type="spellStart"/>
      <w:r w:rsidRPr="0001540B">
        <w:rPr>
          <w:i/>
          <w:iCs/>
          <w:lang w:val="en-US"/>
        </w:rPr>
        <w:t>Guesmi</w:t>
      </w:r>
      <w:proofErr w:type="spellEnd"/>
      <w:r w:rsidRPr="0001540B">
        <w:rPr>
          <w:i/>
          <w:iCs/>
          <w:lang w:val="en-US"/>
        </w:rPr>
        <w:t xml:space="preserve"> S., </w:t>
      </w:r>
      <w:proofErr w:type="spellStart"/>
      <w:r w:rsidRPr="0001540B">
        <w:rPr>
          <w:i/>
          <w:iCs/>
          <w:lang w:val="en-US"/>
        </w:rPr>
        <w:t>Laachir</w:t>
      </w:r>
      <w:proofErr w:type="spellEnd"/>
      <w:r w:rsidRPr="0001540B">
        <w:rPr>
          <w:i/>
          <w:iCs/>
          <w:lang w:val="en-US"/>
        </w:rPr>
        <w:t xml:space="preserve"> A., </w:t>
      </w:r>
      <w:proofErr w:type="spellStart"/>
      <w:r w:rsidRPr="0001540B">
        <w:rPr>
          <w:i/>
          <w:iCs/>
          <w:lang w:val="en-US"/>
        </w:rPr>
        <w:t>Smaili</w:t>
      </w:r>
      <w:proofErr w:type="spellEnd"/>
      <w:r w:rsidRPr="0001540B">
        <w:rPr>
          <w:i/>
          <w:iCs/>
          <w:lang w:val="en-US"/>
        </w:rPr>
        <w:t xml:space="preserve"> A., </w:t>
      </w:r>
      <w:proofErr w:type="spellStart"/>
      <w:r w:rsidRPr="0001540B">
        <w:rPr>
          <w:i/>
          <w:iCs/>
          <w:lang w:val="en-US"/>
        </w:rPr>
        <w:t>Makroum</w:t>
      </w:r>
      <w:proofErr w:type="spellEnd"/>
      <w:r w:rsidRPr="0001540B">
        <w:rPr>
          <w:i/>
          <w:iCs/>
          <w:lang w:val="en-US"/>
        </w:rPr>
        <w:t xml:space="preserve"> K., </w:t>
      </w:r>
      <w:proofErr w:type="spellStart"/>
      <w:r w:rsidRPr="0001540B">
        <w:rPr>
          <w:i/>
          <w:iCs/>
          <w:lang w:val="en-US"/>
        </w:rPr>
        <w:t>Sahibed</w:t>
      </w:r>
      <w:proofErr w:type="spellEnd"/>
      <w:r w:rsidRPr="0001540B">
        <w:rPr>
          <w:i/>
          <w:iCs/>
          <w:lang w:val="en-US"/>
        </w:rPr>
        <w:t xml:space="preserve">-dine A., </w:t>
      </w:r>
      <w:proofErr w:type="spellStart"/>
      <w:r w:rsidRPr="0001540B">
        <w:rPr>
          <w:i/>
          <w:iCs/>
          <w:lang w:val="en-US"/>
        </w:rPr>
        <w:t>Koussa</w:t>
      </w:r>
      <w:proofErr w:type="spellEnd"/>
      <w:r w:rsidRPr="0001540B">
        <w:rPr>
          <w:i/>
          <w:iCs/>
          <w:lang w:val="en-US"/>
        </w:rPr>
        <w:t xml:space="preserve"> T</w:t>
      </w:r>
      <w:r w:rsidRPr="0001540B">
        <w:rPr>
          <w:lang w:val="en-US"/>
        </w:rPr>
        <w:t xml:space="preserve">. // J. of Agricultural and Food Chemistry. 2016. Vol. 64. P. 2661 – 2667. </w:t>
      </w:r>
    </w:p>
    <w:p w14:paraId="6B7E67EE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/>
        <w:jc w:val="both"/>
        <w:rPr>
          <w:lang w:val="en-US"/>
        </w:rPr>
      </w:pPr>
      <w:r w:rsidRPr="0001540B">
        <w:rPr>
          <w:i/>
          <w:iCs/>
          <w:lang w:val="en-US"/>
        </w:rPr>
        <w:t xml:space="preserve">Sakurai S., </w:t>
      </w:r>
      <w:proofErr w:type="spellStart"/>
      <w:r w:rsidRPr="0001540B">
        <w:rPr>
          <w:i/>
          <w:iCs/>
          <w:lang w:val="en-US"/>
        </w:rPr>
        <w:t>Ohara</w:t>
      </w:r>
      <w:proofErr w:type="spellEnd"/>
      <w:r w:rsidRPr="0001540B">
        <w:rPr>
          <w:i/>
          <w:iCs/>
          <w:lang w:val="en-US"/>
        </w:rPr>
        <w:t xml:space="preserve"> T., Morimoto M., Kondo N., </w:t>
      </w:r>
      <w:proofErr w:type="spellStart"/>
      <w:r w:rsidRPr="0001540B">
        <w:rPr>
          <w:i/>
          <w:iCs/>
          <w:lang w:val="en-US"/>
        </w:rPr>
        <w:t>Ikishima</w:t>
      </w:r>
      <w:proofErr w:type="spellEnd"/>
      <w:r w:rsidRPr="0001540B">
        <w:rPr>
          <w:i/>
          <w:iCs/>
          <w:lang w:val="en-US"/>
        </w:rPr>
        <w:t xml:space="preserve"> H. </w:t>
      </w:r>
      <w:r w:rsidRPr="0001540B">
        <w:rPr>
          <w:lang w:val="en-US"/>
        </w:rPr>
        <w:t xml:space="preserve">WO Patent No. 2015/141867 (24 September 2015). </w:t>
      </w:r>
    </w:p>
    <w:p w14:paraId="6B66076D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 w:hanging="294"/>
        <w:jc w:val="both"/>
        <w:rPr>
          <w:lang w:val="en-US"/>
        </w:rPr>
      </w:pPr>
      <w:r w:rsidRPr="0001540B">
        <w:rPr>
          <w:i/>
          <w:iCs/>
          <w:lang w:val="en-US"/>
        </w:rPr>
        <w:t xml:space="preserve">Fan </w:t>
      </w:r>
      <w:proofErr w:type="spellStart"/>
      <w:proofErr w:type="gramStart"/>
      <w:r w:rsidRPr="0001540B">
        <w:rPr>
          <w:i/>
          <w:iCs/>
          <w:lang w:val="en-US"/>
        </w:rPr>
        <w:t>Zh</w:t>
      </w:r>
      <w:proofErr w:type="spellEnd"/>
      <w:r w:rsidRPr="0001540B">
        <w:rPr>
          <w:i/>
          <w:iCs/>
          <w:lang w:val="en-US"/>
        </w:rPr>
        <w:t>.-</w:t>
      </w:r>
      <w:proofErr w:type="gramEnd"/>
      <w:r w:rsidRPr="0001540B">
        <w:rPr>
          <w:i/>
          <w:iCs/>
          <w:lang w:val="en-US"/>
        </w:rPr>
        <w:t xml:space="preserve">J., Shi Z., Zhang H., Liu X., </w:t>
      </w:r>
      <w:proofErr w:type="spellStart"/>
      <w:r w:rsidRPr="0001540B">
        <w:rPr>
          <w:i/>
          <w:iCs/>
          <w:lang w:val="en-US"/>
        </w:rPr>
        <w:t>Bao</w:t>
      </w:r>
      <w:proofErr w:type="spellEnd"/>
      <w:r w:rsidRPr="0001540B">
        <w:rPr>
          <w:i/>
          <w:iCs/>
          <w:lang w:val="en-US"/>
        </w:rPr>
        <w:t xml:space="preserve"> L., Ma L., </w:t>
      </w:r>
      <w:proofErr w:type="spellStart"/>
      <w:r w:rsidRPr="0001540B">
        <w:rPr>
          <w:i/>
          <w:iCs/>
          <w:lang w:val="en-US"/>
        </w:rPr>
        <w:t>Zuo</w:t>
      </w:r>
      <w:proofErr w:type="spellEnd"/>
      <w:r w:rsidRPr="0001540B">
        <w:rPr>
          <w:i/>
          <w:iCs/>
          <w:lang w:val="en-US"/>
        </w:rPr>
        <w:t xml:space="preserve"> X., Zheng Q., </w:t>
      </w:r>
      <w:proofErr w:type="spellStart"/>
      <w:r w:rsidRPr="0001540B">
        <w:rPr>
          <w:i/>
          <w:iCs/>
          <w:lang w:val="en-US"/>
        </w:rPr>
        <w:t>Mi</w:t>
      </w:r>
      <w:proofErr w:type="spellEnd"/>
      <w:r w:rsidRPr="0001540B">
        <w:rPr>
          <w:i/>
          <w:iCs/>
          <w:lang w:val="en-US"/>
        </w:rPr>
        <w:t xml:space="preserve"> N. </w:t>
      </w:r>
      <w:r w:rsidRPr="0001540B">
        <w:rPr>
          <w:lang w:val="en-US"/>
        </w:rPr>
        <w:t>// J. of Agricultural and Food Chemistry. 2009. Vol. 57. P. 4279–4286.</w:t>
      </w:r>
    </w:p>
    <w:p w14:paraId="4437C514" w14:textId="77777777" w:rsidR="00472678" w:rsidRPr="0001540B" w:rsidRDefault="00472678" w:rsidP="0001540B">
      <w:pPr>
        <w:pStyle w:val="a3"/>
        <w:numPr>
          <w:ilvl w:val="0"/>
          <w:numId w:val="1"/>
        </w:numPr>
        <w:autoSpaceDE/>
        <w:autoSpaceDN/>
        <w:spacing w:after="120" w:line="276" w:lineRule="auto"/>
        <w:ind w:right="-57" w:hanging="294"/>
        <w:jc w:val="both"/>
        <w:rPr>
          <w:lang w:val="en-US"/>
        </w:rPr>
      </w:pPr>
      <w:proofErr w:type="spellStart"/>
      <w:r w:rsidRPr="0001540B">
        <w:rPr>
          <w:i/>
          <w:iCs/>
          <w:lang w:val="en-US"/>
        </w:rPr>
        <w:t>Kalinina</w:t>
      </w:r>
      <w:proofErr w:type="spellEnd"/>
      <w:r w:rsidRPr="0001540B">
        <w:rPr>
          <w:i/>
          <w:iCs/>
          <w:lang w:val="en-US"/>
        </w:rPr>
        <w:t xml:space="preserve"> T. A., </w:t>
      </w:r>
      <w:proofErr w:type="spellStart"/>
      <w:r w:rsidRPr="0001540B">
        <w:rPr>
          <w:i/>
          <w:iCs/>
          <w:lang w:val="en-US"/>
        </w:rPr>
        <w:t>Shakhmina</w:t>
      </w:r>
      <w:proofErr w:type="spellEnd"/>
      <w:r w:rsidRPr="0001540B">
        <w:rPr>
          <w:i/>
          <w:iCs/>
          <w:lang w:val="en-US"/>
        </w:rPr>
        <w:t xml:space="preserve"> Y. S., </w:t>
      </w:r>
      <w:proofErr w:type="spellStart"/>
      <w:r w:rsidRPr="0001540B">
        <w:rPr>
          <w:i/>
          <w:iCs/>
          <w:lang w:val="en-US"/>
        </w:rPr>
        <w:t>Glukhareva</w:t>
      </w:r>
      <w:proofErr w:type="spellEnd"/>
      <w:r w:rsidRPr="0001540B">
        <w:rPr>
          <w:i/>
          <w:iCs/>
          <w:lang w:val="en-US"/>
        </w:rPr>
        <w:t xml:space="preserve"> T. V., </w:t>
      </w:r>
      <w:proofErr w:type="spellStart"/>
      <w:r w:rsidRPr="0001540B">
        <w:rPr>
          <w:i/>
          <w:iCs/>
          <w:lang w:val="en-US"/>
        </w:rPr>
        <w:t>Morzherin</w:t>
      </w:r>
      <w:proofErr w:type="spellEnd"/>
      <w:r w:rsidRPr="0001540B">
        <w:rPr>
          <w:i/>
          <w:iCs/>
          <w:lang w:val="en-US"/>
        </w:rPr>
        <w:t xml:space="preserve"> Y. Y., Fan Z.-J., </w:t>
      </w:r>
      <w:proofErr w:type="spellStart"/>
      <w:r w:rsidRPr="0001540B">
        <w:rPr>
          <w:i/>
          <w:iCs/>
          <w:lang w:val="en-US"/>
        </w:rPr>
        <w:t>Borzenkova</w:t>
      </w:r>
      <w:proofErr w:type="spellEnd"/>
      <w:r w:rsidRPr="0001540B">
        <w:rPr>
          <w:i/>
          <w:iCs/>
          <w:lang w:val="en-US"/>
        </w:rPr>
        <w:t xml:space="preserve"> R. A., </w:t>
      </w:r>
      <w:proofErr w:type="spellStart"/>
      <w:r w:rsidRPr="0001540B">
        <w:rPr>
          <w:i/>
          <w:iCs/>
          <w:lang w:val="en-US"/>
        </w:rPr>
        <w:t>Skolobanova</w:t>
      </w:r>
      <w:proofErr w:type="spellEnd"/>
      <w:r w:rsidRPr="0001540B">
        <w:rPr>
          <w:i/>
          <w:iCs/>
          <w:lang w:val="en-US"/>
        </w:rPr>
        <w:t xml:space="preserve"> E. S., </w:t>
      </w:r>
      <w:proofErr w:type="spellStart"/>
      <w:r w:rsidRPr="0001540B">
        <w:rPr>
          <w:i/>
          <w:iCs/>
          <w:lang w:val="en-US"/>
        </w:rPr>
        <w:t>Kiseleva</w:t>
      </w:r>
      <w:proofErr w:type="spellEnd"/>
      <w:r w:rsidRPr="0001540B">
        <w:rPr>
          <w:i/>
          <w:iCs/>
          <w:lang w:val="en-US"/>
        </w:rPr>
        <w:t xml:space="preserve"> I. S. </w:t>
      </w:r>
      <w:r w:rsidRPr="0001540B">
        <w:rPr>
          <w:lang w:val="en-US"/>
        </w:rPr>
        <w:t>// J. of Heterocyclic Compounds. 2014. Vol. 50. P. 1039–1046.</w:t>
      </w:r>
    </w:p>
    <w:p w14:paraId="760E03D1" w14:textId="77777777" w:rsidR="00EB2F62" w:rsidRPr="0001540B" w:rsidRDefault="00EB2F62" w:rsidP="0001540B">
      <w:pPr>
        <w:spacing w:line="276" w:lineRule="auto"/>
        <w:rPr>
          <w:szCs w:val="24"/>
        </w:rPr>
      </w:pPr>
    </w:p>
    <w:sectPr w:rsidR="00EB2F62" w:rsidRPr="0001540B" w:rsidSect="0001540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D3501"/>
    <w:multiLevelType w:val="hybridMultilevel"/>
    <w:tmpl w:val="8E12E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678"/>
    <w:rsid w:val="0001540B"/>
    <w:rsid w:val="00367CE8"/>
    <w:rsid w:val="00472678"/>
    <w:rsid w:val="006860AA"/>
    <w:rsid w:val="007C0158"/>
    <w:rsid w:val="00B75DD1"/>
    <w:rsid w:val="00CA3A25"/>
    <w:rsid w:val="00EB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02E2F"/>
  <w15:chartTrackingRefBased/>
  <w15:docId w15:val="{AB5E0256-5C81-47E7-B1D9-6E84F961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67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678"/>
    <w:pPr>
      <w:widowControl/>
      <w:overflowPunct/>
      <w:adjustRightInd/>
      <w:ind w:left="720"/>
      <w:contextualSpacing/>
      <w:textAlignment w:val="auto"/>
    </w:pPr>
    <w:rPr>
      <w:szCs w:val="24"/>
    </w:rPr>
  </w:style>
  <w:style w:type="paragraph" w:styleId="a5">
    <w:name w:val="Normal (Web)"/>
    <w:basedOn w:val="a"/>
    <w:unhideWhenUsed/>
    <w:rsid w:val="00472678"/>
    <w:rPr>
      <w:szCs w:val="24"/>
    </w:rPr>
  </w:style>
  <w:style w:type="character" w:customStyle="1" w:styleId="a4">
    <w:name w:val="Абзац списка Знак"/>
    <w:basedOn w:val="a0"/>
    <w:link w:val="a3"/>
    <w:uiPriority w:val="34"/>
    <w:locked/>
    <w:rsid w:val="004726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Х311</dc:creator>
  <cp:keywords/>
  <dc:description/>
  <cp:lastModifiedBy>mono_268</cp:lastModifiedBy>
  <cp:revision>2</cp:revision>
  <dcterms:created xsi:type="dcterms:W3CDTF">2020-08-12T11:41:00Z</dcterms:created>
  <dcterms:modified xsi:type="dcterms:W3CDTF">2020-08-12T11:41:00Z</dcterms:modified>
</cp:coreProperties>
</file>